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Default="008C26D4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>The S</w:t>
      </w:r>
      <w:r w:rsidR="00CC67A2">
        <w:rPr>
          <w:rFonts w:ascii="Arial" w:hAnsi="Arial" w:cs="Arial"/>
          <w:kern w:val="20"/>
          <w:sz w:val="22"/>
          <w:szCs w:val="22"/>
        </w:rPr>
        <w:t xml:space="preserve">outh </w:t>
      </w:r>
      <w:r>
        <w:rPr>
          <w:rFonts w:ascii="Arial" w:hAnsi="Arial" w:cs="Arial"/>
          <w:kern w:val="20"/>
          <w:sz w:val="22"/>
          <w:szCs w:val="22"/>
        </w:rPr>
        <w:t>E</w:t>
      </w:r>
      <w:r w:rsidR="00CC67A2">
        <w:rPr>
          <w:rFonts w:ascii="Arial" w:hAnsi="Arial" w:cs="Arial"/>
          <w:kern w:val="20"/>
          <w:sz w:val="22"/>
          <w:szCs w:val="22"/>
        </w:rPr>
        <w:t xml:space="preserve">ast </w:t>
      </w:r>
      <w:r>
        <w:rPr>
          <w:rFonts w:ascii="Arial" w:hAnsi="Arial" w:cs="Arial"/>
          <w:kern w:val="20"/>
          <w:sz w:val="22"/>
          <w:szCs w:val="22"/>
        </w:rPr>
        <w:t>Q</w:t>
      </w:r>
      <w:r w:rsidR="00CC67A2">
        <w:rPr>
          <w:rFonts w:ascii="Arial" w:hAnsi="Arial" w:cs="Arial"/>
          <w:kern w:val="20"/>
          <w:sz w:val="22"/>
          <w:szCs w:val="22"/>
        </w:rPr>
        <w:t>ueensland (SEQ)</w:t>
      </w:r>
      <w:r>
        <w:rPr>
          <w:rFonts w:ascii="Arial" w:hAnsi="Arial" w:cs="Arial"/>
          <w:kern w:val="20"/>
          <w:sz w:val="22"/>
          <w:szCs w:val="22"/>
        </w:rPr>
        <w:t xml:space="preserve"> Water Grid Manager </w:t>
      </w:r>
      <w:r w:rsidR="00C273C1">
        <w:rPr>
          <w:rFonts w:ascii="Arial" w:hAnsi="Arial" w:cs="Arial"/>
          <w:kern w:val="20"/>
          <w:sz w:val="22"/>
          <w:szCs w:val="22"/>
        </w:rPr>
        <w:t xml:space="preserve">(WGM) </w:t>
      </w:r>
      <w:r>
        <w:rPr>
          <w:rFonts w:ascii="Arial" w:hAnsi="Arial" w:cs="Arial"/>
          <w:kern w:val="20"/>
          <w:sz w:val="22"/>
          <w:szCs w:val="22"/>
        </w:rPr>
        <w:t xml:space="preserve">is established under the </w:t>
      </w:r>
      <w:r>
        <w:rPr>
          <w:rFonts w:ascii="Arial" w:hAnsi="Arial" w:cs="Arial"/>
          <w:i/>
          <w:kern w:val="20"/>
          <w:sz w:val="22"/>
          <w:szCs w:val="22"/>
        </w:rPr>
        <w:t>South East Queensland Water (Restructuring) Act 2007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8C26D4" w:rsidRDefault="008C26D4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SEQ </w:t>
      </w:r>
      <w:r w:rsidR="00C273C1">
        <w:rPr>
          <w:rFonts w:ascii="Arial" w:hAnsi="Arial" w:cs="Arial"/>
          <w:kern w:val="20"/>
          <w:sz w:val="22"/>
          <w:szCs w:val="22"/>
        </w:rPr>
        <w:t>WGM is a Government-owned statutory body responsible for managing the strategic operation of the SEQ Water Grid.</w:t>
      </w:r>
    </w:p>
    <w:p w:rsidR="00C273C1" w:rsidRDefault="00C273C1" w:rsidP="00C273C1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Appointment terms of four board members expired on 30 June 2012</w:t>
      </w:r>
      <w:r w:rsidRPr="00B62311">
        <w:rPr>
          <w:rFonts w:ascii="Arial" w:hAnsi="Arial" w:cs="Arial"/>
          <w:kern w:val="20"/>
          <w:sz w:val="22"/>
          <w:szCs w:val="22"/>
        </w:rPr>
        <w:t>.</w:t>
      </w:r>
    </w:p>
    <w:p w:rsidR="00C273C1" w:rsidRDefault="00C273C1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Government has committed to merging the bulk water entities as part of its plan to lower the cost of living for families.  </w:t>
      </w:r>
      <w:r w:rsidR="000B6AE2">
        <w:rPr>
          <w:rFonts w:ascii="Arial" w:hAnsi="Arial" w:cs="Arial"/>
          <w:kern w:val="20"/>
          <w:sz w:val="22"/>
          <w:szCs w:val="22"/>
        </w:rPr>
        <w:t>The</w:t>
      </w:r>
      <w:r>
        <w:rPr>
          <w:rFonts w:ascii="Arial" w:hAnsi="Arial" w:cs="Arial"/>
          <w:kern w:val="20"/>
          <w:sz w:val="22"/>
          <w:szCs w:val="22"/>
        </w:rPr>
        <w:t xml:space="preserve"> board </w:t>
      </w:r>
      <w:r w:rsidR="000B6AE2">
        <w:rPr>
          <w:rFonts w:ascii="Arial" w:hAnsi="Arial" w:cs="Arial"/>
          <w:kern w:val="20"/>
          <w:sz w:val="22"/>
          <w:szCs w:val="22"/>
        </w:rPr>
        <w:t>is to continue during the</w:t>
      </w:r>
      <w:r>
        <w:rPr>
          <w:rFonts w:ascii="Arial" w:hAnsi="Arial" w:cs="Arial"/>
          <w:kern w:val="20"/>
          <w:sz w:val="22"/>
          <w:szCs w:val="22"/>
        </w:rPr>
        <w:t xml:space="preserve"> merger process</w:t>
      </w:r>
      <w:r w:rsidR="000B6AE2">
        <w:rPr>
          <w:rFonts w:ascii="Arial" w:hAnsi="Arial" w:cs="Arial"/>
          <w:kern w:val="20"/>
          <w:sz w:val="22"/>
          <w:szCs w:val="22"/>
        </w:rPr>
        <w:t xml:space="preserve"> until dissolution of the WGM</w:t>
      </w:r>
      <w:r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505A86" w:rsidRDefault="00505A86" w:rsidP="00505A86">
      <w:pPr>
        <w:ind w:left="357"/>
        <w:jc w:val="both"/>
        <w:rPr>
          <w:rFonts w:ascii="Arial" w:hAnsi="Arial" w:cs="Arial"/>
          <w:kern w:val="20"/>
          <w:sz w:val="22"/>
          <w:szCs w:val="22"/>
        </w:rPr>
      </w:pPr>
    </w:p>
    <w:p w:rsidR="008C26D4" w:rsidRPr="00505A86" w:rsidRDefault="00753E05" w:rsidP="00505A86">
      <w:pPr>
        <w:numPr>
          <w:ilvl w:val="0"/>
          <w:numId w:val="5"/>
        </w:numPr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 xml:space="preserve">Cabinet </w:t>
      </w:r>
      <w:r w:rsidR="008C26D4">
        <w:rPr>
          <w:rFonts w:ascii="Arial" w:hAnsi="Arial" w:cs="Arial"/>
          <w:sz w:val="22"/>
          <w:szCs w:val="22"/>
          <w:u w:val="single"/>
        </w:rPr>
        <w:t>noted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 w:rsidR="008C26D4">
        <w:rPr>
          <w:rFonts w:ascii="Arial" w:hAnsi="Arial" w:cs="Arial"/>
          <w:sz w:val="22"/>
          <w:szCs w:val="22"/>
        </w:rPr>
        <w:t xml:space="preserve">the intention for responsible Ministers to appoint </w:t>
      </w:r>
      <w:r w:rsidR="0080795E">
        <w:rPr>
          <w:rFonts w:ascii="Arial" w:hAnsi="Arial" w:cs="Arial"/>
          <w:sz w:val="22"/>
          <w:szCs w:val="22"/>
        </w:rPr>
        <w:t xml:space="preserve">the following persons </w:t>
      </w:r>
      <w:r w:rsidR="008C26D4">
        <w:rPr>
          <w:rFonts w:ascii="Arial" w:hAnsi="Arial" w:cs="Arial"/>
          <w:sz w:val="22"/>
          <w:szCs w:val="22"/>
        </w:rPr>
        <w:t xml:space="preserve">as directors to the board </w:t>
      </w:r>
      <w:r w:rsidR="0080795E">
        <w:rPr>
          <w:rFonts w:ascii="Arial" w:hAnsi="Arial" w:cs="Arial"/>
          <w:sz w:val="22"/>
          <w:szCs w:val="22"/>
        </w:rPr>
        <w:t>for term</w:t>
      </w:r>
      <w:r w:rsidR="008C26D4">
        <w:rPr>
          <w:rFonts w:ascii="Arial" w:hAnsi="Arial" w:cs="Arial"/>
          <w:sz w:val="22"/>
          <w:szCs w:val="22"/>
        </w:rPr>
        <w:t xml:space="preserve">s no more than nine months commencing from 1 July 2012 to 31 March </w:t>
      </w:r>
      <w:r w:rsidR="00505A86">
        <w:rPr>
          <w:rFonts w:ascii="Arial" w:hAnsi="Arial" w:cs="Arial"/>
          <w:sz w:val="22"/>
          <w:szCs w:val="22"/>
        </w:rPr>
        <w:t>2013 –</w:t>
      </w:r>
    </w:p>
    <w:p w:rsidR="00505A86" w:rsidRDefault="00505A86" w:rsidP="00505A86">
      <w:pPr>
        <w:pStyle w:val="ListParagraph"/>
        <w:numPr>
          <w:ilvl w:val="0"/>
          <w:numId w:val="14"/>
        </w:numPr>
        <w:ind w:left="709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Gordon Jardine</w:t>
      </w:r>
    </w:p>
    <w:p w:rsidR="00505A86" w:rsidRDefault="00505A86" w:rsidP="00505A86">
      <w:pPr>
        <w:pStyle w:val="ListParagraph"/>
        <w:numPr>
          <w:ilvl w:val="0"/>
          <w:numId w:val="14"/>
        </w:numPr>
        <w:ind w:left="709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David Cunliffe</w:t>
      </w:r>
    </w:p>
    <w:p w:rsidR="00505A86" w:rsidRPr="00505A86" w:rsidRDefault="00505A86" w:rsidP="00505A86">
      <w:pPr>
        <w:pStyle w:val="ListParagraph"/>
        <w:numPr>
          <w:ilvl w:val="0"/>
          <w:numId w:val="14"/>
        </w:numPr>
        <w:ind w:left="709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Teresa Dyson</w:t>
      </w:r>
    </w:p>
    <w:p w:rsidR="008C26D4" w:rsidRPr="00505A86" w:rsidRDefault="008C26D4" w:rsidP="00505A86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A86">
        <w:rPr>
          <w:rFonts w:ascii="Arial" w:hAnsi="Arial" w:cs="Arial"/>
          <w:sz w:val="22"/>
          <w:szCs w:val="22"/>
          <w:u w:val="single"/>
        </w:rPr>
        <w:t>Cabinet noted</w:t>
      </w:r>
      <w:r w:rsidRPr="00505A86">
        <w:rPr>
          <w:rFonts w:ascii="Arial" w:hAnsi="Arial" w:cs="Arial"/>
          <w:sz w:val="22"/>
          <w:szCs w:val="22"/>
        </w:rPr>
        <w:t xml:space="preserve"> the directors’ appointments will be terminated should the dissolution of the WGM occur prior to 31 March 2013.</w:t>
      </w:r>
      <w:r w:rsidR="0080795E" w:rsidRPr="00505A86">
        <w:rPr>
          <w:rFonts w:ascii="Arial" w:hAnsi="Arial" w:cs="Arial"/>
          <w:sz w:val="22"/>
          <w:szCs w:val="22"/>
        </w:rPr>
        <w:t xml:space="preserve"> </w:t>
      </w:r>
    </w:p>
    <w:p w:rsidR="0080795E" w:rsidRPr="00B62311" w:rsidRDefault="0080795E" w:rsidP="008C26D4">
      <w:pPr>
        <w:ind w:left="425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80795E" w:rsidRPr="00B62311" w:rsidSect="00CC67A2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44" w:rsidRDefault="00F14E44" w:rsidP="003915E9">
      <w:r>
        <w:separator/>
      </w:r>
    </w:p>
  </w:endnote>
  <w:endnote w:type="continuationSeparator" w:id="0">
    <w:p w:rsidR="00F14E44" w:rsidRDefault="00F14E44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44" w:rsidRDefault="00F14E44" w:rsidP="003915E9">
      <w:r>
        <w:separator/>
      </w:r>
    </w:p>
  </w:footnote>
  <w:footnote w:type="continuationSeparator" w:id="0">
    <w:p w:rsidR="00F14E44" w:rsidRDefault="00F14E44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C1" w:rsidRPr="00D75134" w:rsidRDefault="00C273C1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C273C1" w:rsidRPr="00D75134" w:rsidRDefault="00C273C1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C273C1" w:rsidRPr="001E209B" w:rsidRDefault="00C273C1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June </w:t>
    </w:r>
    <w:r w:rsidRPr="001E209B">
      <w:rPr>
        <w:rFonts w:ascii="Arial" w:hAnsi="Arial" w:cs="Arial"/>
        <w:b/>
        <w:sz w:val="22"/>
        <w:szCs w:val="22"/>
      </w:rPr>
      <w:t>2012</w:t>
    </w:r>
  </w:p>
  <w:p w:rsidR="00C273C1" w:rsidRPr="00E64B33" w:rsidRDefault="00C273C1" w:rsidP="00E64B3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directors to the SEQ Water Grid Manager Board</w:t>
    </w:r>
  </w:p>
  <w:p w:rsidR="00C273C1" w:rsidRPr="00E64B33" w:rsidRDefault="00C273C1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  <w:r>
      <w:rPr>
        <w:rFonts w:ascii="Arial" w:hAnsi="Arial" w:cs="Arial"/>
        <w:b/>
        <w:sz w:val="22"/>
        <w:szCs w:val="22"/>
        <w:u w:val="single"/>
      </w:rPr>
      <w:t xml:space="preserve"> / Minister for Energy and Water Supply</w:t>
    </w:r>
  </w:p>
  <w:p w:rsidR="00CC67A2" w:rsidRDefault="00CC67A2" w:rsidP="00CC67A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168B9"/>
    <w:multiLevelType w:val="hybridMultilevel"/>
    <w:tmpl w:val="92E4CC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7" w15:restartNumberingAfterBreak="0">
    <w:nsid w:val="5DD501EA"/>
    <w:multiLevelType w:val="hybridMultilevel"/>
    <w:tmpl w:val="28B89B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C55924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100E2"/>
    <w:rsid w:val="0008609E"/>
    <w:rsid w:val="000B6AE2"/>
    <w:rsid w:val="001246D5"/>
    <w:rsid w:val="00152DDA"/>
    <w:rsid w:val="0015577D"/>
    <w:rsid w:val="0016207A"/>
    <w:rsid w:val="001A3842"/>
    <w:rsid w:val="00284134"/>
    <w:rsid w:val="002B0EF5"/>
    <w:rsid w:val="002B4E56"/>
    <w:rsid w:val="002D7308"/>
    <w:rsid w:val="003915E9"/>
    <w:rsid w:val="003B03CE"/>
    <w:rsid w:val="003C74D2"/>
    <w:rsid w:val="00495A32"/>
    <w:rsid w:val="004D35BB"/>
    <w:rsid w:val="00503B8D"/>
    <w:rsid w:val="00505A86"/>
    <w:rsid w:val="00526A5C"/>
    <w:rsid w:val="00542EA7"/>
    <w:rsid w:val="005B6D8C"/>
    <w:rsid w:val="005C147E"/>
    <w:rsid w:val="00635DD6"/>
    <w:rsid w:val="0067135A"/>
    <w:rsid w:val="00751679"/>
    <w:rsid w:val="007534D4"/>
    <w:rsid w:val="00753E05"/>
    <w:rsid w:val="00775F5C"/>
    <w:rsid w:val="00787891"/>
    <w:rsid w:val="007A3776"/>
    <w:rsid w:val="0080795E"/>
    <w:rsid w:val="008720F9"/>
    <w:rsid w:val="00897D94"/>
    <w:rsid w:val="008C26D4"/>
    <w:rsid w:val="008D3F95"/>
    <w:rsid w:val="008E119C"/>
    <w:rsid w:val="008E3EF7"/>
    <w:rsid w:val="00913241"/>
    <w:rsid w:val="00944349"/>
    <w:rsid w:val="009C1CAF"/>
    <w:rsid w:val="00A13864"/>
    <w:rsid w:val="00A50A44"/>
    <w:rsid w:val="00AA0C07"/>
    <w:rsid w:val="00AB2FF8"/>
    <w:rsid w:val="00B23DEB"/>
    <w:rsid w:val="00B565D5"/>
    <w:rsid w:val="00B7019C"/>
    <w:rsid w:val="00BD656C"/>
    <w:rsid w:val="00C11F8C"/>
    <w:rsid w:val="00C273C1"/>
    <w:rsid w:val="00C32F63"/>
    <w:rsid w:val="00C4500B"/>
    <w:rsid w:val="00CB2623"/>
    <w:rsid w:val="00CC5090"/>
    <w:rsid w:val="00CC67A2"/>
    <w:rsid w:val="00DA04AE"/>
    <w:rsid w:val="00DB5B48"/>
    <w:rsid w:val="00DC72AB"/>
    <w:rsid w:val="00DD1BBF"/>
    <w:rsid w:val="00E07622"/>
    <w:rsid w:val="00E64B33"/>
    <w:rsid w:val="00E668F5"/>
    <w:rsid w:val="00ED038B"/>
    <w:rsid w:val="00F018C0"/>
    <w:rsid w:val="00F11503"/>
    <w:rsid w:val="00F14E44"/>
    <w:rsid w:val="00F35B6C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C26D4"/>
    <w:pPr>
      <w:keepNext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C26D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C26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26D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5" w:color="0078AD"/>
                <w:right w:val="none" w:sz="0" w:space="0" w:color="auto"/>
              </w:divBdr>
              <w:divsChild>
                <w:div w:id="953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1EA1-EF10-406A-80B8-AC7AEC32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766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>https://www.cabinet.qld.gov.au/documents/2012/Jun/Appt to the SEQ Water Grid Manager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2012-08-29T03:38:00Z</cp:lastPrinted>
  <dcterms:created xsi:type="dcterms:W3CDTF">2017-10-24T23:19:00Z</dcterms:created>
  <dcterms:modified xsi:type="dcterms:W3CDTF">2018-03-06T01:13:00Z</dcterms:modified>
  <cp:category>Significant_Appointments,Boards,Water</cp:category>
</cp:coreProperties>
</file>